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BC" w:rsidRDefault="00321E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Světlo pro metro – GHMP a DPP vybrali vítězné umělecké dílo do vestibulu stanice metra Florenc</w:t>
      </w:r>
    </w:p>
    <w:p w:rsidR="000D0FBC" w:rsidRDefault="000D0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D0280F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Praha, 14. prosince 2023 – </w:t>
      </w:r>
      <w:r>
        <w:rPr>
          <w:rFonts w:ascii="Arial" w:eastAsia="Arial" w:hAnsi="Arial" w:cs="Arial"/>
          <w:b/>
          <w:color w:val="000000"/>
        </w:rPr>
        <w:t>Metro a výtvarné umění k sobě neoddělitelně patří, příklady této symbiózy najdeme po celém světě. Dopravní podnik hlavního města Prahy ve spolupráci s Galerií hlavního města Prahy hodlá navázat na architektonické, umělecké a designérské hodnoty pražského m</w:t>
      </w:r>
      <w:r>
        <w:rPr>
          <w:rFonts w:ascii="Arial" w:eastAsia="Arial" w:hAnsi="Arial" w:cs="Arial"/>
          <w:b/>
          <w:color w:val="000000"/>
        </w:rPr>
        <w:t xml:space="preserve">etra a vytvořit model vhodné spolupráce odborné městské instituce s metropolitním dopravcem. Pro pořízení návrhu nového uměleckého díla pro stanici metra Florenc byla zvolena forma soutěžního dialogu, který umožňuje nalézt optimální řešení spojující nejen </w:t>
      </w:r>
      <w:r>
        <w:rPr>
          <w:rFonts w:ascii="Arial" w:eastAsia="Arial" w:hAnsi="Arial" w:cs="Arial"/>
          <w:b/>
          <w:color w:val="000000"/>
        </w:rPr>
        <w:t xml:space="preserve">uměleckou kvalitu, ale vyhovět také požadavkům na technickou, bezpečnostní i projekční složku návrhu. Vítězem soutěžního dialogu </w:t>
      </w:r>
      <w:proofErr w:type="gramStart"/>
      <w:r>
        <w:rPr>
          <w:rFonts w:ascii="Arial" w:eastAsia="Arial" w:hAnsi="Arial" w:cs="Arial"/>
          <w:b/>
          <w:color w:val="000000"/>
        </w:rPr>
        <w:t>Světlo</w:t>
      </w:r>
      <w:proofErr w:type="gramEnd"/>
      <w:r>
        <w:rPr>
          <w:rFonts w:ascii="Arial" w:eastAsia="Arial" w:hAnsi="Arial" w:cs="Arial"/>
          <w:b/>
          <w:color w:val="000000"/>
        </w:rPr>
        <w:t xml:space="preserve"> pro metro se </w:t>
      </w:r>
      <w:proofErr w:type="gramStart"/>
      <w:r>
        <w:rPr>
          <w:rFonts w:ascii="Arial" w:eastAsia="Arial" w:hAnsi="Arial" w:cs="Arial"/>
          <w:b/>
          <w:color w:val="000000"/>
        </w:rPr>
        <w:t>stal</w:t>
      </w:r>
      <w:proofErr w:type="gramEnd"/>
      <w:r>
        <w:rPr>
          <w:rFonts w:ascii="Arial" w:eastAsia="Arial" w:hAnsi="Arial" w:cs="Arial"/>
          <w:b/>
          <w:color w:val="000000"/>
        </w:rPr>
        <w:t xml:space="preserve"> český umělec Jan </w:t>
      </w:r>
      <w:proofErr w:type="spellStart"/>
      <w:r>
        <w:rPr>
          <w:rFonts w:ascii="Arial" w:eastAsia="Arial" w:hAnsi="Arial" w:cs="Arial"/>
          <w:b/>
          <w:color w:val="000000"/>
        </w:rPr>
        <w:t>Poš</w:t>
      </w:r>
      <w:proofErr w:type="spellEnd"/>
      <w:r>
        <w:rPr>
          <w:rFonts w:ascii="Arial" w:eastAsia="Arial" w:hAnsi="Arial" w:cs="Arial"/>
          <w:b/>
          <w:color w:val="000000"/>
        </w:rPr>
        <w:t xml:space="preserve"> se svým návrhem </w:t>
      </w:r>
      <w:r>
        <w:rPr>
          <w:rFonts w:ascii="Arial" w:eastAsia="Arial" w:hAnsi="Arial" w:cs="Arial"/>
          <w:b/>
          <w:i/>
          <w:color w:val="000000"/>
        </w:rPr>
        <w:t>Synapse</w:t>
      </w:r>
      <w:r>
        <w:rPr>
          <w:rFonts w:ascii="Arial" w:eastAsia="Arial" w:hAnsi="Arial" w:cs="Arial"/>
          <w:b/>
          <w:color w:val="000000"/>
        </w:rPr>
        <w:t>. Detailní informace o projektu, včetně prezentace dalších</w:t>
      </w:r>
      <w:r>
        <w:rPr>
          <w:rFonts w:ascii="Arial" w:eastAsia="Arial" w:hAnsi="Arial" w:cs="Arial"/>
          <w:b/>
          <w:color w:val="000000"/>
        </w:rPr>
        <w:t xml:space="preserve"> postupujících do druhého kola, naleznete na </w:t>
      </w:r>
      <w:hyperlink r:id="rId7">
        <w:r>
          <w:rPr>
            <w:rFonts w:ascii="Arial" w:eastAsia="Arial" w:hAnsi="Arial" w:cs="Arial"/>
            <w:b/>
            <w:color w:val="1155CC"/>
            <w:u w:val="single"/>
          </w:rPr>
          <w:t>webových stránkách CCEA MOBA</w:t>
        </w:r>
      </w:hyperlink>
      <w:r>
        <w:rPr>
          <w:rFonts w:ascii="Arial" w:eastAsia="Arial" w:hAnsi="Arial" w:cs="Arial"/>
          <w:b/>
          <w:color w:val="000000"/>
        </w:rPr>
        <w:t xml:space="preserve">, organizátora soutěžního dialogu. </w:t>
      </w:r>
    </w:p>
    <w:p w:rsidR="00D0280F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br/>
        <w:t>O </w:t>
      </w:r>
      <w:r>
        <w:rPr>
          <w:rFonts w:ascii="Arial" w:eastAsia="Arial" w:hAnsi="Arial" w:cs="Arial"/>
          <w:b/>
          <w:color w:val="000000"/>
          <w:sz w:val="22"/>
          <w:szCs w:val="22"/>
        </w:rPr>
        <w:t>vítězném návrhu</w:t>
      </w:r>
    </w:p>
    <w:p w:rsidR="00D0280F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Všechny odevzdané návrhy byly velmi kvalitní, propracované a promyšlené vzhledem k prostředí i existujícímu uměleckému dílu velkoplošné mozaiky </w:t>
      </w:r>
      <w:r>
        <w:rPr>
          <w:rFonts w:ascii="Arial" w:eastAsia="Arial" w:hAnsi="Arial" w:cs="Arial"/>
          <w:i/>
          <w:color w:val="000000"/>
          <w:sz w:val="22"/>
          <w:szCs w:val="22"/>
        </w:rPr>
        <w:t>Bitva u Sokolova</w:t>
      </w:r>
      <w:r>
        <w:rPr>
          <w:rFonts w:ascii="Arial" w:eastAsia="Arial" w:hAnsi="Arial" w:cs="Arial"/>
          <w:color w:val="000000"/>
          <w:sz w:val="22"/>
          <w:szCs w:val="22"/>
        </w:rPr>
        <w:t>. Porota zároveň přihlížela k technickému řešení vlastní realizace uměleckého díla, ale i násled</w:t>
      </w:r>
      <w:r>
        <w:rPr>
          <w:rFonts w:ascii="Arial" w:eastAsia="Arial" w:hAnsi="Arial" w:cs="Arial"/>
          <w:color w:val="000000"/>
          <w:sz w:val="22"/>
          <w:szCs w:val="22"/>
        </w:rPr>
        <w:t>né údržbě a udržitelnosti v náročném provozu. Vítězné světelné dílo na čelní stěně podchodu bude zaznamenávat okolní pohyb cestujících a reflektovat tak přítomnost okamžiku.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D0280F" w:rsidRDefault="00D028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0280F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 vítěznému návrhu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Synapse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jeho autor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Jan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Poš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uvádí: „</w:t>
      </w:r>
      <w:r>
        <w:rPr>
          <w:rFonts w:ascii="Arial" w:eastAsia="Arial" w:hAnsi="Arial" w:cs="Arial"/>
          <w:i/>
          <w:color w:val="000000"/>
          <w:sz w:val="22"/>
          <w:szCs w:val="22"/>
        </w:rPr>
        <w:t>Umělecké dílo, umístěné na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stěně naproti hlavnímu schodišti podchodu, se návštěvníkům metra odhaluje při každém stoupání či klesání po schodech. Stává se tak součástí jejich každodenní cesty a přesto zůstává elegantně odsunuto stranou, vytváří prostor, kde může samo pro sebe vynikn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out a odpočinout si od shonu. Formát a styl díla oživuje a rozšiřuje existující mozaiku – </w:t>
      </w:r>
      <w:r>
        <w:rPr>
          <w:rFonts w:ascii="Arial" w:eastAsia="Arial" w:hAnsi="Arial" w:cs="Arial"/>
          <w:color w:val="000000"/>
          <w:sz w:val="22"/>
          <w:szCs w:val="22"/>
        </w:rPr>
        <w:t>Bitvu u Sokolova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– vytvářejíc tak most mezi historií a současností metropolitního prostoru.”</w:t>
      </w:r>
    </w:p>
    <w:p w:rsidR="00D0280F" w:rsidRDefault="00D028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D0FBC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Kontext místa a plánovaná rekonstrukce</w:t>
      </w:r>
    </w:p>
    <w:p w:rsidR="00D0280F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Primárním cílem probíhající rekon</w:t>
      </w:r>
      <w:r>
        <w:rPr>
          <w:rFonts w:ascii="Arial" w:eastAsia="Arial" w:hAnsi="Arial" w:cs="Arial"/>
          <w:color w:val="000000"/>
          <w:sz w:val="22"/>
          <w:szCs w:val="22"/>
        </w:rPr>
        <w:t>strukce stanice metra Florenc je realizace nové stropní desky. Spolu s rekonstrukcí dojde k úpravě podhledu podchodu, úpravě stávajících komerčních jednotek a zapojení současného výtvarného umění. DPP stejně jako Magistrát hl. m. Prahy a GHMP vnímá, že sou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částí významných rekonstrukcí veřejných prostor metra nebo vzniku nových stanic by měla být i realizace uměleckých děl specifických pro dané místo, které formulují potřeby i vize současné doby. </w:t>
      </w:r>
      <w:r>
        <w:rPr>
          <w:rFonts w:ascii="Arial" w:eastAsia="Arial" w:hAnsi="Arial" w:cs="Arial"/>
          <w:i/>
          <w:sz w:val="22"/>
          <w:szCs w:val="22"/>
        </w:rPr>
        <w:t>„Čas strávený v metru by měl být nejen pohodlný, ale i příjemn</w:t>
      </w:r>
      <w:r>
        <w:rPr>
          <w:rFonts w:ascii="Arial" w:eastAsia="Arial" w:hAnsi="Arial" w:cs="Arial"/>
          <w:i/>
          <w:sz w:val="22"/>
          <w:szCs w:val="22"/>
        </w:rPr>
        <w:t xml:space="preserve">ý s ohledem na prostředí, ve kterém se cestující veřejnou dopravou pohybují. Díky </w:t>
      </w:r>
      <w:r>
        <w:rPr>
          <w:rFonts w:ascii="Arial" w:eastAsia="Arial" w:hAnsi="Arial" w:cs="Arial"/>
          <w:i/>
          <w:sz w:val="22"/>
          <w:szCs w:val="22"/>
        </w:rPr>
        <w:lastRenderedPageBreak/>
        <w:t>proběhlému soutěžnímu dialogu nyní získá stanice na Florenci dynamické umělecké dílo, které nejen že naláká ke zvědavosti všechny kolemjdoucí, ale přinese do vestibulu energi</w:t>
      </w:r>
      <w:r>
        <w:rPr>
          <w:rFonts w:ascii="Arial" w:eastAsia="Arial" w:hAnsi="Arial" w:cs="Arial"/>
          <w:i/>
          <w:sz w:val="22"/>
          <w:szCs w:val="22"/>
        </w:rPr>
        <w:t>i světla. To bylo ostatně hlavním posláním soutěže. Škoda, že jsme v minulosti o podobné umělecké dílo přišli ve stanici Náměstí míru,”</w:t>
      </w:r>
      <w:r>
        <w:rPr>
          <w:rFonts w:ascii="Arial" w:eastAsia="Arial" w:hAnsi="Arial" w:cs="Arial"/>
          <w:sz w:val="22"/>
          <w:szCs w:val="22"/>
        </w:rPr>
        <w:t xml:space="preserve"> říká </w:t>
      </w:r>
      <w:r>
        <w:rPr>
          <w:rFonts w:ascii="Arial" w:eastAsia="Arial" w:hAnsi="Arial" w:cs="Arial"/>
          <w:b/>
          <w:sz w:val="22"/>
          <w:szCs w:val="22"/>
        </w:rPr>
        <w:t>Zdeněk Hřib</w:t>
      </w:r>
      <w:r>
        <w:rPr>
          <w:rFonts w:ascii="Arial" w:eastAsia="Arial" w:hAnsi="Arial" w:cs="Arial"/>
          <w:sz w:val="22"/>
          <w:szCs w:val="22"/>
        </w:rPr>
        <w:t xml:space="preserve">, náměstek pro oblast dopravy. </w:t>
      </w:r>
    </w:p>
    <w:p w:rsidR="00D0280F" w:rsidRDefault="00D028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0280F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outěžní dialog je v tomto ohledu nejvhodnější způsob, jak umožnit vznik trvalých uměleckých hodnot v tomto specifickém prostředí. Podzemní svět metra je přirozeně bez denního světla. Osvětlení zde plní nejen primární funkci strategické městské stavby, ale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je také nosným nástrojem pro modelaci prostoru, tvorbu atmosféry a práci s psychologií cestujících. Světlo je v metru esenciální, může být efektní, inteligentní, udržitelné, ale také koncepční a výtvarné. </w:t>
      </w:r>
    </w:p>
    <w:p w:rsidR="00D0280F" w:rsidRDefault="00D028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0280F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Anna Schwarz</w:t>
      </w:r>
      <w:r>
        <w:rPr>
          <w:rFonts w:ascii="Arial" w:eastAsia="Arial" w:hAnsi="Arial" w:cs="Arial"/>
          <w:color w:val="000000"/>
          <w:sz w:val="22"/>
          <w:szCs w:val="22"/>
        </w:rPr>
        <w:t>, architektka metra a projektová mana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žerka DPP, komentuje důležitost kultivace prostoru metra následovně: </w:t>
      </w:r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„Metro má být nejen utilitární mód dopravy, ale také kultivovaný reprezentativní prostor, který v ideálním případě kulturně obohacuje obyvatele metropole. Čím víc budeme věnovat energie a</w:t>
      </w:r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pozornosti tomuto prostředí, tím raději se budeme po městě pohybovat udržitelně.”</w:t>
      </w:r>
    </w:p>
    <w:p w:rsidR="00D0280F" w:rsidRDefault="00D028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D0FBC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Předmětem soutěžního dialogu Světlo pro metro a součástí veřejné zakázky v rámci programu hl. m. Prahy Umění pro město je kromě návrhu nového uměleckého díla, světelného ob</w:t>
      </w:r>
      <w:r>
        <w:rPr>
          <w:rFonts w:ascii="Arial" w:eastAsia="Arial" w:hAnsi="Arial" w:cs="Arial"/>
          <w:color w:val="000000"/>
          <w:sz w:val="22"/>
          <w:szCs w:val="22"/>
        </w:rPr>
        <w:t>jektu pro pasáž spojující severní a jižní vestibul stanice metra Florenc C, také zpracování kompletní projektové dokumentace v součinnosti s GHMP, DPP a zhotovitelem rekonstrukce stanice, dodání uměleckého díla, jeho instalace a zprovoznění.</w:t>
      </w:r>
    </w:p>
    <w:p w:rsidR="00D0280F" w:rsidRDefault="00D028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0280F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Soutěžní dial</w:t>
      </w:r>
      <w:r>
        <w:rPr>
          <w:rFonts w:ascii="Arial" w:eastAsia="Arial" w:hAnsi="Arial" w:cs="Arial"/>
          <w:b/>
          <w:color w:val="000000"/>
          <w:sz w:val="22"/>
          <w:szCs w:val="22"/>
        </w:rPr>
        <w:t>og</w:t>
      </w:r>
    </w:p>
    <w:p w:rsidR="00D0280F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Vyhlašovatelem soutěžního dialogu na nové trvalé umělecké dílo – světelný objekt, pořízený z programu Umění pro město, byla GHMP společně s DPP. Organizátorem soutěžního dialogu je CCEA MOBA. Soutěžní dialog byl zahájen 13. 3. 2023 výzvou pro podání při</w:t>
      </w:r>
      <w:r>
        <w:rPr>
          <w:rFonts w:ascii="Arial" w:eastAsia="Arial" w:hAnsi="Arial" w:cs="Arial"/>
          <w:color w:val="000000"/>
          <w:sz w:val="22"/>
          <w:szCs w:val="22"/>
        </w:rPr>
        <w:t>hlášek. Do první fáze se přihlásilo celkem 23 umělců, umělkyň nebo uměleckých, architektonických a designérských týmů. Ve lhůtě pro podání Profesních přístupů k řešení zakázky obdržel zadavatel podklady od 18 přihlášených účastníků zadávacího řízení. Postu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pujícími do 2. fáze soutěžního dialogu byly 4 subjekty: tým Pavly Beranové, Daniela Kříže a Karolíny Vojáčkové, dále zahraniční tým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Jason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Bruges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Studio a individuálně pak Richard Loskot a Jan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Komise objektivně vybrala rozdílné autorské a tvůrčí přístu</w:t>
      </w:r>
      <w:r>
        <w:rPr>
          <w:rFonts w:ascii="Arial" w:eastAsia="Arial" w:hAnsi="Arial" w:cs="Arial"/>
          <w:color w:val="000000"/>
          <w:sz w:val="22"/>
          <w:szCs w:val="22"/>
        </w:rPr>
        <w:t>py k tvorbě ve veřejném prostoru a neuzavřela se novým impulsům vycházejícím z různých zkušeností jednotlivých účastníků. Soutěžící se pak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 2. fázi, již neanonymně, následně účastnili workshopů se zástupci zadávajících institucí, odborníky z Dopravního po</w:t>
      </w:r>
      <w:r>
        <w:rPr>
          <w:rFonts w:ascii="Arial" w:eastAsia="Arial" w:hAnsi="Arial" w:cs="Arial"/>
          <w:color w:val="000000"/>
          <w:sz w:val="22"/>
          <w:szCs w:val="22"/>
        </w:rPr>
        <w:t>dniku a zástupci hlavního projektanta rekonstrukce podchodu, aby společně probrali podstatné detaily týkající se zejména infrastruktury a správy metra potřebné k vypracování vlastního soutěžního návrhu.</w:t>
      </w:r>
    </w:p>
    <w:p w:rsidR="00D0280F" w:rsidRDefault="00D028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0D0FBC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„Cílem společného soutěžního dialogu bylo nalézt náv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rh uměleckého díla, který bude pracovat se světlem, hovořit současným vizuálním jazykem a zároveň bude organicky zapojen do rekonstruovaného prostoru jednoho z nejvytíženějších uzlů pražského metra. Těší mne, že vítězem soutěžního dialogu je mladý umělec,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který dokázal navázat na dnes již historické </w:t>
      </w:r>
      <w:r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>řešení architektury metra i dobových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uměleckých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děl.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Spojením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interaktivních prvků, digitálních technologií a využitím klasických neonových světel se mu podařilo propojit  minulost a přítomnost. Takové umělecké dílo ve veřejném prostoru zaujme a potěší každého z cestujících.</w:t>
      </w:r>
      <w:r>
        <w:rPr>
          <w:rFonts w:ascii="Arial" w:eastAsia="Arial" w:hAnsi="Arial" w:cs="Arial"/>
          <w:i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říká </w:t>
      </w:r>
      <w:r>
        <w:rPr>
          <w:rFonts w:ascii="Arial" w:eastAsia="Arial" w:hAnsi="Arial" w:cs="Arial"/>
          <w:b/>
          <w:sz w:val="22"/>
          <w:szCs w:val="22"/>
        </w:rPr>
        <w:t>Jiří Pospíšil</w:t>
      </w:r>
      <w:r>
        <w:rPr>
          <w:rFonts w:ascii="Arial" w:eastAsia="Arial" w:hAnsi="Arial" w:cs="Arial"/>
          <w:sz w:val="22"/>
          <w:szCs w:val="22"/>
        </w:rPr>
        <w:t xml:space="preserve">, náměstek pro kulturu </w:t>
      </w:r>
      <w:r>
        <w:rPr>
          <w:rFonts w:ascii="Arial" w:eastAsia="Arial" w:hAnsi="Arial" w:cs="Arial"/>
          <w:sz w:val="22"/>
          <w:szCs w:val="22"/>
        </w:rPr>
        <w:t>a cestovní ruch.</w:t>
      </w:r>
    </w:p>
    <w:p w:rsidR="00D0280F" w:rsidRDefault="00D028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0D0FBC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O vítězi rozhodla pětičlenná odborná porota. V 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její nezávislé části zasedla Stanislava Blažková, architektka ateliéru YUAR, </w:t>
      </w:r>
      <w:r>
        <w:rPr>
          <w:rFonts w:ascii="Arial" w:eastAsia="Arial" w:hAnsi="Arial" w:cs="Arial"/>
          <w:color w:val="000000"/>
          <w:sz w:val="22"/>
          <w:szCs w:val="22"/>
        </w:rPr>
        <w:t>dále Pavel Korbička, pedagog Fakulty výtvarných umění Vysokého učení technického v Brně, Maxim Velčovský, český 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signér, pedagog na Vysoké škole uměleckoprůmyslové a v současnosti kreativní ředitel společnosti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Lasvit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Do závislé části poroty byla jmenována Anna Švarc, architektka metra a projektová manažerka DPP, a Hana Třeštíková, zastupitelka HMP a místostarostka P</w:t>
      </w:r>
      <w:r>
        <w:rPr>
          <w:rFonts w:ascii="Arial" w:eastAsia="Arial" w:hAnsi="Arial" w:cs="Arial"/>
          <w:color w:val="000000"/>
          <w:sz w:val="22"/>
          <w:szCs w:val="22"/>
        </w:rPr>
        <w:t>rahy 7 pro oblast kultury, sportu a sousedských vztahů. V současné době probíhá koordinace mezi vítězem soutěžního dialogu, DPP a zhotovitelem rekonstrukce vestibulu stanice Florenc C. Ambicí všech stran je v ideálním případě spojit dokončení stavebních pr</w:t>
      </w:r>
      <w:r>
        <w:rPr>
          <w:rFonts w:ascii="Arial" w:eastAsia="Arial" w:hAnsi="Arial" w:cs="Arial"/>
          <w:color w:val="000000"/>
          <w:sz w:val="22"/>
          <w:szCs w:val="22"/>
        </w:rPr>
        <w:t>ací s odhalením uměleckého díla v roce 2026.</w:t>
      </w:r>
    </w:p>
    <w:p w:rsidR="000D0FBC" w:rsidRDefault="000D0F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</w:rPr>
      </w:pPr>
    </w:p>
    <w:p w:rsidR="000D0FBC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08"/>
        <w:rPr>
          <w:rFonts w:ascii="Arial" w:eastAsia="Arial" w:hAnsi="Arial" w:cs="Arial"/>
          <w:color w:val="0563C1"/>
          <w:u w:val="single"/>
        </w:rPr>
      </w:pPr>
      <w:r>
        <w:rPr>
          <w:rFonts w:ascii="Arial" w:eastAsia="Arial" w:hAnsi="Arial" w:cs="Arial"/>
          <w:b/>
          <w:color w:val="000000"/>
        </w:rPr>
        <w:t>Více informací a dokumentace:</w:t>
      </w:r>
      <w:r>
        <w:rPr>
          <w:rFonts w:ascii="Arial" w:eastAsia="Arial" w:hAnsi="Arial" w:cs="Arial"/>
          <w:color w:val="000000"/>
        </w:rPr>
        <w:t xml:space="preserve"> </w:t>
      </w:r>
      <w:hyperlink r:id="rId8">
        <w:r>
          <w:rPr>
            <w:rFonts w:ascii="Arial" w:eastAsia="Arial" w:hAnsi="Arial" w:cs="Arial"/>
            <w:color w:val="1155CC"/>
            <w:u w:val="single"/>
          </w:rPr>
          <w:t>https://cceamoba.cz/souteze/svm</w:t>
        </w:r>
      </w:hyperlink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  <w:t xml:space="preserve">Kontakt GHMP pro novináře: Agáta </w:t>
      </w:r>
      <w:proofErr w:type="spellStart"/>
      <w:r>
        <w:rPr>
          <w:rFonts w:ascii="Arial" w:eastAsia="Arial" w:hAnsi="Arial" w:cs="Arial"/>
          <w:b/>
          <w:color w:val="000000"/>
        </w:rPr>
        <w:t>Hošnová</w:t>
      </w:r>
      <w:proofErr w:type="spellEnd"/>
      <w:r>
        <w:rPr>
          <w:rFonts w:ascii="Arial" w:eastAsia="Arial" w:hAnsi="Arial" w:cs="Arial"/>
          <w:b/>
          <w:color w:val="000000"/>
        </w:rPr>
        <w:t xml:space="preserve">, +420 604 814 732 </w:t>
      </w:r>
      <w:hyperlink r:id="rId9">
        <w:r>
          <w:rPr>
            <w:rFonts w:ascii="Arial" w:eastAsia="Arial" w:hAnsi="Arial" w:cs="Arial"/>
            <w:color w:val="0563C1"/>
            <w:u w:val="single"/>
          </w:rPr>
          <w:t>agata.hosnova@ghmp.cz</w:t>
        </w:r>
      </w:hyperlink>
    </w:p>
    <w:p w:rsidR="000D0FBC" w:rsidRDefault="000D0F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08"/>
        <w:rPr>
          <w:rFonts w:ascii="Arial" w:eastAsia="Arial" w:hAnsi="Arial" w:cs="Arial"/>
          <w:color w:val="0563C1"/>
          <w:u w:val="single"/>
        </w:rPr>
      </w:pPr>
    </w:p>
    <w:p w:rsidR="000D0FBC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Kontakt DPP pro novináře: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tiskoveoddeleni@dpp.cz</w:t>
        </w:r>
      </w:hyperlink>
    </w:p>
    <w:p w:rsidR="000D0FBC" w:rsidRDefault="000D0F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08"/>
        <w:rPr>
          <w:rFonts w:ascii="Arial" w:eastAsia="Arial" w:hAnsi="Arial" w:cs="Arial"/>
          <w:color w:val="000000"/>
        </w:rPr>
      </w:pPr>
    </w:p>
    <w:p w:rsidR="000D0FBC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5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Další informace:</w:t>
      </w:r>
    </w:p>
    <w:p w:rsidR="000D0FBC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50"/>
        <w:rPr>
          <w:color w:val="000000"/>
        </w:rPr>
      </w:pPr>
      <w:hyperlink r:id="rId11">
        <w:r>
          <w:rPr>
            <w:rFonts w:ascii="Arial" w:eastAsia="Arial" w:hAnsi="Arial" w:cs="Arial"/>
            <w:b/>
            <w:color w:val="000000"/>
          </w:rPr>
          <w:t>www.ghmp.cz</w:t>
        </w:r>
      </w:hyperlink>
      <w:r>
        <w:rPr>
          <w:rFonts w:ascii="Arial" w:eastAsia="Arial" w:hAnsi="Arial" w:cs="Arial"/>
          <w:b/>
          <w:color w:val="000000"/>
        </w:rPr>
        <w:t xml:space="preserve">, umenipromesto.eu </w:t>
      </w:r>
      <w:r>
        <w:rPr>
          <w:rFonts w:ascii="Arial" w:eastAsia="Arial" w:hAnsi="Arial" w:cs="Arial"/>
          <w:b/>
          <w:color w:val="000000"/>
        </w:rPr>
        <w:br/>
      </w:r>
      <w:hyperlink r:id="rId12">
        <w:r>
          <w:rPr>
            <w:rFonts w:ascii="Arial" w:eastAsia="Arial" w:hAnsi="Arial" w:cs="Arial"/>
            <w:b/>
            <w:color w:val="000000"/>
            <w:u w:val="single"/>
          </w:rPr>
          <w:t>www.facebook.com/umenipromesto</w:t>
        </w:r>
      </w:hyperlink>
    </w:p>
    <w:p w:rsidR="000D0FBC" w:rsidRDefault="00321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50"/>
        <w:rPr>
          <w:color w:val="000000"/>
        </w:rPr>
      </w:pPr>
      <w:hyperlink r:id="rId13">
        <w:r>
          <w:rPr>
            <w:rFonts w:ascii="Arial" w:eastAsia="Arial" w:hAnsi="Arial" w:cs="Arial"/>
            <w:b/>
            <w:color w:val="000000"/>
            <w:u w:val="single"/>
          </w:rPr>
          <w:t>www.instagram.com/umenipromesto</w:t>
        </w:r>
      </w:hyperlink>
    </w:p>
    <w:sectPr w:rsidR="000D0FBC">
      <w:headerReference w:type="default" r:id="rId14"/>
      <w:footerReference w:type="default" r:id="rId15"/>
      <w:pgSz w:w="11906" w:h="16838"/>
      <w:pgMar w:top="1322" w:right="1417" w:bottom="2088" w:left="1417" w:header="340" w:footer="3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1EF7">
      <w:r>
        <w:separator/>
      </w:r>
    </w:p>
  </w:endnote>
  <w:endnote w:type="continuationSeparator" w:id="0">
    <w:p w:rsidR="00000000" w:rsidRDefault="0032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BC" w:rsidRDefault="00321EF7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584200</wp:posOffset>
              </wp:positionH>
              <wp:positionV relativeFrom="paragraph">
                <wp:posOffset>50800</wp:posOffset>
              </wp:positionV>
              <wp:extent cx="5259705" cy="104013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0880" y="3264660"/>
                        <a:ext cx="5250240" cy="1030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D0FBC" w:rsidRDefault="00321EF7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Galerie hlavního města Prahy je jednou z nejvýznamnějších galerií v České republice, která se ve své výstavní činnosti zaměřuje zejména na moderní a současné umění. Shromažďuje, ochraňuje a odborně zpracovává umělecké sbírky hlavního města Prahy. V současn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é době GHMP vystavuje v sedmi objektech: v Domě U Kamenného zvonu, v Městské knihovně – 2. patro, v 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Colloredo-Mansfeldském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paláci, v Domě fotografie, v Bílkově vile, v Zámku Troja a v Domě Františka Bílka v Chýnově.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highlight w:val="white"/>
                            </w:rPr>
                            <w:t xml:space="preserve"> Program Umění pro město se primárně sous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highlight w:val="white"/>
                            </w:rPr>
                            <w:t>tředí na problematiku trvalého osazování uměleckých děl do veřejného prostoru. Od roku 2020 se navíc  podařilo program i rozšířit a využít jej k pořádání krátkodobých instalací a uměleckých intervencí. Tyto dočasné instalace jsou realizovány prostřednictví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  <w:highlight w:val="white"/>
                            </w:rPr>
                            <w:t>m Galerie hlavního města Prahy.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584200</wp:posOffset>
              </wp:positionH>
              <wp:positionV relativeFrom="paragraph">
                <wp:posOffset>50800</wp:posOffset>
              </wp:positionV>
              <wp:extent cx="5259705" cy="10401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59705" cy="1040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D0FBC" w:rsidRDefault="00321EF7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color w:val="000000"/>
      </w:rPr>
      <w:drawing>
        <wp:inline distT="0" distB="0" distL="0" distR="0">
          <wp:extent cx="539750" cy="539750"/>
          <wp:effectExtent l="0" t="0" r="0" b="0"/>
          <wp:docPr id="3" name="image4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D0FBC" w:rsidRDefault="000D0F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:rsidR="000D0FBC" w:rsidRDefault="000D0F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1EF7">
      <w:r>
        <w:separator/>
      </w:r>
    </w:p>
  </w:footnote>
  <w:footnote w:type="continuationSeparator" w:id="0">
    <w:p w:rsidR="00000000" w:rsidRDefault="0032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BC" w:rsidRDefault="00321EF7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color w:val="000000"/>
      </w:rPr>
      <w:drawing>
        <wp:inline distT="0" distB="0" distL="0" distR="0">
          <wp:extent cx="4482465" cy="970280"/>
          <wp:effectExtent l="0" t="0" r="0" 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7619"/>
                  <a:stretch>
                    <a:fillRect/>
                  </a:stretch>
                </pic:blipFill>
                <pic:spPr>
                  <a:xfrm>
                    <a:off x="0" y="0"/>
                    <a:ext cx="4482465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800100" cy="82486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-12675" r="-26320" b="-34799"/>
                  <a:stretch>
                    <a:fillRect/>
                  </a:stretch>
                </pic:blipFill>
                <pic:spPr>
                  <a:xfrm>
                    <a:off x="0" y="0"/>
                    <a:ext cx="800100" cy="824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D0FBC" w:rsidRDefault="000D0F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BC"/>
    <w:rsid w:val="000D0FBC"/>
    <w:rsid w:val="00321EF7"/>
    <w:rsid w:val="00D0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A0E1"/>
  <w15:docId w15:val="{89667FAC-2D29-4CFC-8E01-2041518C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dpis3">
    <w:name w:val="heading 3"/>
    <w:basedOn w:val="Normln"/>
    <w:next w:val="Normln"/>
    <w:pPr>
      <w:keepNext/>
      <w:widowControl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pPr>
      <w:keepNext/>
      <w:widowControl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eamoba.cz/souteze/svm" TargetMode="External"/><Relationship Id="rId13" Type="http://schemas.openxmlformats.org/officeDocument/2006/relationships/hyperlink" Target="http://www.instagram.com/umenipromes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eamoba.cz/souteze/svm" TargetMode="External"/><Relationship Id="rId12" Type="http://schemas.openxmlformats.org/officeDocument/2006/relationships/hyperlink" Target="http://www.facebook.com/umenipromest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hmp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iskoveoddeleni@dp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smolkova@ghmp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waD9xs4FJzFM2fXFMu7NbIdVKA==">CgMxLjAyCGguZ2pkZ3hzOAByITFpVnliNUE2Z2hEU3RXaC1ZRm5CTjRONVlXX2dFR18yUg==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6542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</dc:creator>
  <cp:lastModifiedBy> </cp:lastModifiedBy>
  <cp:revision>2</cp:revision>
  <dcterms:created xsi:type="dcterms:W3CDTF">2023-12-14T10:24:00Z</dcterms:created>
  <dcterms:modified xsi:type="dcterms:W3CDTF">2023-12-14T10:24:00Z</dcterms:modified>
</cp:coreProperties>
</file>